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515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10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154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154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26.07.2023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408</w:t>
            </w:r>
          </w:p>
        </w:tc>
        <w:tc>
          <w:tcPr>
            <w:tcW w:w="10822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1358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г. № 266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29.06.2023 г. № 49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280" w:firstLineChars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  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numPr>
          <w:ilvl w:val="0"/>
          <w:numId w:val="0"/>
        </w:numPr>
        <w:ind w:leftChars="100"/>
        <w:jc w:val="both"/>
        <w:rPr>
          <w:rFonts w:ascii="Times New Roman" w:hAnsi="Times New Roman"/>
          <w:sz w:val="28"/>
          <w:szCs w:val="28"/>
        </w:rPr>
      </w:pPr>
    </w:p>
    <w:p>
      <w:pPr>
        <w:pStyle w:val="15"/>
        <w:numPr>
          <w:ilvl w:val="1"/>
          <w:numId w:val="3"/>
        </w:numPr>
        <w:ind w:left="102" w:leftChars="0" w:right="0" w:firstLine="0" w:firstLineChars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изложить в новой редакции (Прилагается).</w:t>
      </w:r>
    </w:p>
    <w:p>
      <w:pPr>
        <w:pStyle w:val="15"/>
        <w:numPr>
          <w:ilvl w:val="0"/>
          <w:numId w:val="0"/>
        </w:numPr>
        <w:ind w:left="102" w:leftChars="0" w:right="0" w:rightChars="0"/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1"/>
          <w:numId w:val="3"/>
        </w:numPr>
        <w:ind w:left="102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auto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Раздел 2 паспорта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</w:rPr>
        <w:t>Цели и задачи муниципальной программы, целевые показатели реализации муниципальной программы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u w:val="none"/>
          <w:lang w:val="ru-RU"/>
        </w:rPr>
        <w:t>» изложить в следующей редакции:</w:t>
      </w:r>
    </w:p>
    <w:p>
      <w:pPr>
        <w:ind w:left="0" w:right="0" w:firstLine="540"/>
        <w:jc w:val="both"/>
        <w:rPr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  <w:lang w:val="ru-RU"/>
        </w:rPr>
        <w:t>«</w:t>
      </w:r>
      <w:r>
        <w:rPr>
          <w:b w:val="0"/>
          <w:bCs/>
          <w:sz w:val="28"/>
          <w:szCs w:val="28"/>
        </w:rPr>
        <w:t>Раздел 2. Цели и задачи муниципальной программы, целевые показатели реализации муниципальной программы</w:t>
      </w:r>
    </w:p>
    <w:p>
      <w:pPr>
        <w:pStyle w:val="2"/>
        <w:numPr>
          <w:ilvl w:val="0"/>
          <w:numId w:val="4"/>
        </w:numPr>
        <w:pBdr>
          <w:bottom w:val="single" w:color="B9B9B9" w:sz="6" w:space="0"/>
        </w:pBdr>
        <w:shd w:val="clear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Муниципальная программа «Управление муниципальной собственностью на территории Артинского городского округа до 2027 года» принимается в рамках исполнения и реализации Стратегии социально–экономического развития Артинского городского округа на период до 2035 год, утвержденной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</w:t>
      </w:r>
    </w:p>
    <w:p>
      <w:pPr>
        <w:pStyle w:val="15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целесообразности решения проблемы программно-целевым методом.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совершенствования управления муниципальной собственностью является повышение эффективности управления муниципальным имуществом.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для достижения указанной цели являются: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состава  муниципального имущества;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доходов местного бюджета от использования и приватизации муниципального имущества.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>
        <w:rPr>
          <w:sz w:val="28"/>
          <w:szCs w:val="28"/>
        </w:rPr>
        <w:t>, направленные на решение поставленных задач: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реестра муниципальной собственности;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анализа по использованию муниципального имущества;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работы по разграничению прав собственности на земельные участки;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Результатами</w:t>
      </w:r>
      <w:r>
        <w:rPr>
          <w:sz w:val="28"/>
          <w:szCs w:val="28"/>
        </w:rPr>
        <w:t xml:space="preserve"> указанных мероприятий станут: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эффективности управления муниципальной собственностью Артинского городского округа;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роста неналоговых доходов местного бюджета;</w:t>
      </w:r>
    </w:p>
    <w:p>
      <w:pPr>
        <w:pStyle w:val="15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программы, целевые показатели, позволяющие оценивать ход реализации программы, по годам:</w:t>
      </w:r>
    </w:p>
    <w:p>
      <w:pPr>
        <w:pStyle w:val="15"/>
        <w:ind w:left="0"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Цели программы: 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сведений о муниципальном имуществе Артинского городского округа;</w:t>
      </w:r>
    </w:p>
    <w:p>
      <w:pPr>
        <w:pStyle w:val="1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Снижение количества аварийных объектов капительного строительства</w:t>
      </w:r>
    </w:p>
    <w:p>
      <w:pPr>
        <w:pStyle w:val="13"/>
        <w:widowControl w:val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сохранности 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муниципального имущества, повышение эффективности управления, использования и распоряжения муниципальной собственностью</w:t>
      </w:r>
    </w:p>
    <w:p>
      <w:pPr>
        <w:widowControl w:val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>
      <w:pPr>
        <w:widowControl w:val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Соблюдение требований установленных Федеральным законом «Об оценочной деятельности»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доходов местного бюджета от использования и приватизации муниципального движимого и недвижимого имущества, в том числе земельных участков;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на земельные участки;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объектов земельных отношений, расположенных в границах Артинского городского округа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максимального количества бесхозяйного имущества в оборот;</w:t>
      </w: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и распоряжения муниципальным имуществом;</w:t>
      </w:r>
    </w:p>
    <w:p>
      <w:pPr>
        <w:pStyle w:val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учреждения услугами почтовой связи.</w:t>
      </w:r>
    </w:p>
    <w:p>
      <w:pPr>
        <w:pStyle w:val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имущественной поддержки субъектам малого и среднего предпринимательства и самозанятых граждан</w:t>
      </w:r>
    </w:p>
    <w:p>
      <w:pPr>
        <w:pStyle w:val="13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Завершение процедуры ликвидации Муниципального унитарного предприятия</w:t>
      </w:r>
    </w:p>
    <w:p>
      <w:pPr>
        <w:pStyle w:val="13"/>
        <w:ind w:left="0" w:right="0"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Программы:</w:t>
      </w:r>
    </w:p>
    <w:p>
      <w:pPr>
        <w:pStyle w:val="13"/>
        <w:widowControl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Увеличение объектов недвижимого имущества, находящихся в муниципальной собственности Артинского ГО</w:t>
      </w:r>
    </w:p>
    <w:p>
      <w:pPr>
        <w:widowControl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Изъятие земельных участков и объектов недвижимости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3. Проведение технической инвентаризации и постановка на кадастровый учет объектов недвижимости в Артинском городском округе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4. Сохранение  муниципального имущества в технически исправном состоянии.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5. Проведение оценки рыночной стоимости арендуемого и реализуемого имущества в порядке, установленном Федеральным законом «Об оценочной деятельности»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6.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муниципального имущества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7. 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8. Увеличение доли земельных участков, прошедших установление границ на местности, постановку на кадастровый учет и регистрацию права собственности за Артинским городским округом в общем количестве таких земельных участков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9.Формирование Единой федеральной информационной системы о землях сельскохозяйственного назначения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10.Осуществление муниципального контроля в рамках земельного законодательства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 xml:space="preserve">11.  </w:t>
      </w:r>
      <w:r>
        <w:rPr>
          <w:rFonts w:hint="default" w:ascii="Times New Roman" w:hAnsi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Увеличение количества объектов, поставленных на учет в качестве бесхозяйных, в общем количестве таких объектов подлежащих учету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  <w:lang w:val="ru-RU"/>
        </w:rPr>
        <w:t>12.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Автоматизация процесса учета муниципального имущества</w:t>
      </w:r>
    </w:p>
    <w:p>
      <w:pPr>
        <w:widowControl w:val="0"/>
        <w:jc w:val="both"/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. Организация услуг почтовой связи</w:t>
      </w:r>
      <w:r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  <w:lang w:val="ru-RU"/>
        </w:rPr>
        <w:t xml:space="preserve"> для нужд Комитета по управлению имуществом Администрации АГО.</w:t>
      </w:r>
    </w:p>
    <w:p>
      <w:pPr>
        <w:widowControl w:val="0"/>
        <w:jc w:val="both"/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i w:val="0"/>
          <w:strike w:val="0"/>
          <w:dstrike w:val="0"/>
          <w:color w:val="000000"/>
          <w:sz w:val="28"/>
          <w:szCs w:val="28"/>
          <w:u w:val="none"/>
        </w:rPr>
        <w:t>. Предоставление субъектам малого и среднего предпринимательства  и организациям , образующим инфраструктуру поддержки субъектов малого и среднего предпринимательства, самозанятым гражданам объектов недвижимости, включенных в перечни муниципального имущества. Создание благоприятных условий для осуществления деятельности самозанятыми гражданами</w:t>
      </w:r>
    </w:p>
    <w:p>
      <w:pPr>
        <w:pStyle w:val="13"/>
        <w:rPr>
          <w:rFonts w:hint="default" w:ascii="Times New Roman" w:hAnsi="Times New Roman"/>
          <w:b w:val="0"/>
          <w:bCs w:val="0"/>
          <w:i w:val="0"/>
          <w:strike w:val="0"/>
          <w:dstrike w:val="0"/>
          <w:color w:val="4F81BD" w:themeColor="accent1"/>
          <w:sz w:val="28"/>
          <w:szCs w:val="28"/>
          <w:u w:val="none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strike w:val="0"/>
          <w:dstrike w:val="0"/>
          <w:color w:val="4F81BD" w:themeColor="accent1"/>
          <w:sz w:val="28"/>
          <w:szCs w:val="28"/>
          <w:u w:val="none"/>
          <w:lang w:val="ru-RU"/>
          <w14:textFill>
            <w14:solidFill>
              <w14:schemeClr w14:val="accent1"/>
            </w14:solidFill>
          </w14:textFill>
        </w:rPr>
        <w:t xml:space="preserve">15. </w:t>
      </w:r>
      <w:r>
        <w:rPr>
          <w:rFonts w:hint="default" w:ascii="Times New Roman" w:hAnsi="Times New Roman"/>
          <w:b w:val="0"/>
          <w:bCs w:val="0"/>
          <w:i w:val="0"/>
          <w:strike w:val="0"/>
          <w:dstrike w:val="0"/>
          <w:color w:val="4F81BD" w:themeColor="accent1"/>
          <w:sz w:val="28"/>
          <w:szCs w:val="28"/>
          <w:u w:val="none"/>
          <w:lang w:val="ru-RU"/>
          <w14:textFill>
            <w14:solidFill>
              <w14:schemeClr w14:val="accent1"/>
            </w14:solidFill>
          </w14:textFill>
        </w:rPr>
        <w:t>Ликвидация муниципального унитарного предприятия</w:t>
      </w:r>
    </w:p>
    <w:p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следующие целевые индикаторы: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Наличие технических и кадастровых паспортов, свидетельств о государственной регистрации права муниципальной собственности на все объекты недвижимости, находящиеся в муниципальной собственности Артинского городского округа.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Кадастровый учет и наличие свидетельств о государственной регистрации права муниципальной собственности на все земельные участки, расположенные под объектами недвижимости, находящимися в муниципальной собственности Артинского городского округа.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неналоговых доходов бюджета Артинского городского округа на основе эффективного управления муниципальной собственностью и земельными ресурсами.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программы определяется соотношением доходов, полученных от управления муниципальной собственностью, и расходов, осуществленных в рамках настоящей Программы.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эффективной, если величина полученного дохода больше суммы произведенных в рамках настоящей Программы расходов.</w:t>
      </w:r>
    </w:p>
    <w:p>
      <w:pPr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социально-экономической эффективности Программы производится по итогам выполнения Программы за год и по окончании срока реализации Программы на основании достижения целевых индикаторов.</w:t>
      </w:r>
    </w:p>
    <w:p>
      <w:pPr>
        <w:pStyle w:val="13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показатели, отражающие ход реализации программы указаны в Приложении 1 к настоящей Программе.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pStyle w:val="13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13"/>
        <w:ind w:left="0" w:right="0" w:firstLine="54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1.3. Раздел 3 муниципальной программы «План мероприятий по реализации программы» дополнить Подпрограммой 6 со следующим наименованием: «6.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Подпрограмма 6 «Управление муниципальными организациями».</w:t>
      </w:r>
    </w:p>
    <w:p>
      <w:pPr>
        <w:pStyle w:val="13"/>
        <w:jc w:val="both"/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eastAsia="Times New Roman" w:cs="Times New Roman"/>
          <w:sz w:val="28"/>
          <w:szCs w:val="28"/>
          <w:lang w:val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1 к муниципальной программе «Цели, задачи и целевые показатели реализации муниципальной программа» дополнить строками следующего содержания: </w:t>
      </w:r>
    </w:p>
    <w:tbl>
      <w:tblPr>
        <w:tblStyle w:val="4"/>
        <w:tblW w:w="298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400"/>
        <w:gridCol w:w="696"/>
        <w:gridCol w:w="648"/>
        <w:gridCol w:w="612"/>
        <w:gridCol w:w="636"/>
        <w:gridCol w:w="816"/>
        <w:gridCol w:w="792"/>
        <w:gridCol w:w="840"/>
        <w:gridCol w:w="684"/>
        <w:gridCol w:w="1272"/>
        <w:gridCol w:w="9604"/>
        <w:gridCol w:w="10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48" w:type="dxa"/>
          <w:trHeight w:val="302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00"/>
            <w:noWrap/>
            <w:vAlign w:val="bottom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53</w:t>
            </w:r>
          </w:p>
        </w:tc>
        <w:tc>
          <w:tcPr>
            <w:tcW w:w="1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FFFF0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Подпрограмма 6. Управление муниципальными организациями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52" w:type="dxa"/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Цель 13. Завершение процедуры ликвидации муниципального унитарного предприятия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55</w:t>
            </w:r>
          </w:p>
        </w:tc>
        <w:tc>
          <w:tcPr>
            <w:tcW w:w="29448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Задача 15. Ликвида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ция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муниципально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унитарно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предприяти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052" w:type="dxa"/>
          <w:trHeight w:val="581" w:hRule="atLeast"/>
        </w:trPr>
        <w:tc>
          <w:tcPr>
            <w:tcW w:w="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ru-RU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Целевой показатель 19.   Количество муниципальных унитарных предприятий подлежащих процедуре ликвидации                                                                     </w:t>
            </w: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ед.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Постановление главы АГО от 04.07.2023 № 357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="-2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Приложение № 2 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2027 года» утвердить в новой редакции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ind w:left="-2" w:leftChars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ind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Артинского городского округа                                      А.А. Константинов</w:t>
      </w:r>
    </w:p>
    <w:p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33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08"/>
        <w:gridCol w:w="1184"/>
        <w:gridCol w:w="1152"/>
        <w:gridCol w:w="1184"/>
        <w:gridCol w:w="2556"/>
        <w:gridCol w:w="1062"/>
        <w:gridCol w:w="703"/>
        <w:gridCol w:w="703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Приложение № 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муниципальной программе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от 26.07.2023 г.  № 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МЕРОПРИЯТИЙ ПО РЕАЛИЗАЦИИ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"Управление муниципальной собственностью на территории Артинского городского округа до 2027 годах"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3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7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Всего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 г.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 г.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г.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г.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г.</w:t>
            </w:r>
          </w:p>
        </w:tc>
        <w:tc>
          <w:tcPr>
            <w:tcW w:w="1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98 516,93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83 066,68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98 353,97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9 478,25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82 903,72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2 827,00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3 145,00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1 «Оптимизация состава муниципального имущества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82 216,07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76 365,60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82 216,07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76 365,60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82 216,07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76 365,60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с целью предоставления нуждающимся в жилых помещениях малоимущим гражданам, проживающим в городском округе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5 850,47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5 532,47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62 165,60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62 165,60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Возмещение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14 200,00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№ 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33CCCC" w:fill="00FA9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2 «Управление муниципальным имуществом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2,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9 954,65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2 492,30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9 954,65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2 492,30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9 954,65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2 909,75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2 492,30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2 276,30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Мероприятия по сносу ветхого (аварийного) жилья и нежилых зданий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2 061,12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1 041,12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Постановка на кадастровый учет автомобильных дорог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75,63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объектов ЖКХ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зданий и помещений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Постановка на кадастровый учет сооружений, проведение экспертизы промышленной безопасности, установление зон с особыми условиями использования территории и др.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6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Проведение обследования муниципального имущества,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6.1.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с целью получения заключения о состоянии муниципального имущества 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6.2.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с целью снятия с кадастрового  учета и исключения из реестра муниципальной собственности</w:t>
            </w:r>
            <w:r>
              <w:rPr>
                <w:rStyle w:val="2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7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Постановка на кадастровый учет и техническая инвентаризация муниципальных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Содержание, ремонт и обеспечение сохранности муниципального имущества, в том числе: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3 894,32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934,82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коммунальные услуги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3 020,50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8.2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содержание муниципального имущества находящегося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746,95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185,50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       ремонт муниципальных зданий и помещений (или объектов недвижимости), находящихся в казне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8.4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              разработка и экспертиза проектно-сметной документации и иных необходимых документов     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9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Проведение рыночной оценки размера арендной платы, оценки рыночной стоимости муниципального имущества, рыночной оценки земельных участков, оценки имущества, включаемого в реестр муниципальной собственности,</w:t>
            </w:r>
            <w:r>
              <w:rPr>
                <w:rStyle w:val="2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27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рыночной оценки размера возмещения стоимости земельных участков и объектов недвижимости на них расположенных, подлежащих изъятию для муниципальных нужд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1 317,20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33CCCC" w:fill="00FA9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3. «Управление земельными ресурсами на территории Артинского городского округа»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E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Формирование земельных участков и оформление права муниципальной собственности на них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144,84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2.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Проведение кадастровых работ по образованию земельных участков из земель сельскохозяйственного назначения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Установление границ земельных участков на местности, постановка на кадастровый учет и регистрация права собственности на земельные участки за Артинским городским округом 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4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и выдача заключения эксперта (специалиста) в рамках муниципального земельного контроля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5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Проведение обследования объектов муниципальной собственности с целью дальнейшего снятия их с кадастрового учета и исключения из реестра муниципальной собственности Артинского городского округа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6. 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80008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162,96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4. «Мероприятия по выявлению, учету и использованию бесхозяйного имущества»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4,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Постановка на кадастровый учет  бесхозяйных объектов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790,23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390,12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380,12</w:t>
            </w: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5. Обеспечивающая подпрограмма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5,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областной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Местный бюджет,,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 по направлениям: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1 743,17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431,07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1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Обслуживание программно-аппаратного комплекса для обеспечения деятельности учреждения,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1 018,87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1.1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1.2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техническая поддержка программы АСГОР "Имущество"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Style w:val="2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1.3</w:t>
            </w:r>
            <w:r>
              <w:rPr>
                <w:rStyle w:val="2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217,87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/>
                <w:iCs/>
                <w:color w:val="800080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Style w:val="20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Мероприятие 2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.                                                     Публикация извещений в средствах массовой информации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127,40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Мероприятие 3</w:t>
            </w:r>
            <w:r>
              <w:rPr>
                <w:rStyle w:val="2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.                                                            Услуги почтовой связи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106,90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33CCCC" w:fill="00FA9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6. «Управление муниципальными организациями»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подпрограмме 6,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CCFF" w:fill="00B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C9211E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C9211E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местный бюджет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00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FF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Мероприятие 1.    </w:t>
            </w:r>
            <w:r>
              <w:rPr>
                <w:rStyle w:val="21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Субсидия на возмещение затрат на проведение мероприятий, связанных с ликвидацией МУП "ЖКХ-Манчаж"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FFFF00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Строка 56</w:t>
            </w:r>
          </w:p>
        </w:tc>
      </w:tr>
    </w:tbl>
    <w:p>
      <w:pPr>
        <w:pStyle w:val="15"/>
        <w:ind w:left="0" w:right="0" w:firstLine="0"/>
        <w:jc w:val="center"/>
        <w:rPr>
          <w:rFonts w:hint="default" w:ascii="Times New Roman" w:hAnsi="Times New Roman"/>
          <w:bCs/>
          <w:iCs/>
          <w:sz w:val="28"/>
          <w:szCs w:val="28"/>
          <w:lang w:val="ru-RU"/>
        </w:rPr>
      </w:pPr>
    </w:p>
    <w:p>
      <w:pPr>
        <w:pStyle w:val="15"/>
        <w:ind w:left="0" w:right="0" w:firstLine="0"/>
        <w:jc w:val="center"/>
        <w:rPr>
          <w:rFonts w:hint="default" w:ascii="Times New Roman" w:hAnsi="Times New Roman"/>
          <w:bCs/>
          <w:iCs/>
          <w:sz w:val="28"/>
          <w:szCs w:val="28"/>
          <w:lang w:val="ru-RU"/>
        </w:rPr>
      </w:pPr>
    </w:p>
    <w:p>
      <w:pPr>
        <w:pStyle w:val="13"/>
        <w:jc w:val="both"/>
      </w:pPr>
    </w:p>
    <w:sectPr>
      <w:pgSz w:w="16838" w:h="11906" w:orient="landscape"/>
      <w:pgMar w:top="1407" w:right="854" w:bottom="699" w:left="846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2">
    <w:nsid w:val="532105A8"/>
    <w:multiLevelType w:val="multilevel"/>
    <w:tmpl w:val="532105A8"/>
    <w:lvl w:ilvl="0" w:tentative="0">
      <w:start w:val="1"/>
      <w:numFmt w:val="decimal"/>
      <w:suff w:val="space"/>
      <w:lvlText w:val="%1."/>
      <w:lvlJc w:val="left"/>
      <w:pPr>
        <w:ind w:left="102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102" w:leftChars="0" w:firstLine="0" w:firstLineChars="0"/>
      </w:pPr>
      <w:rPr>
        <w:rFonts w:hint="default"/>
        <w:sz w:val="28"/>
        <w:szCs w:val="28"/>
      </w:rPr>
    </w:lvl>
    <w:lvl w:ilvl="2" w:tentative="0">
      <w:start w:val="1"/>
      <w:numFmt w:val="decimal"/>
      <w:suff w:val="space"/>
      <w:lvlText w:val="%1.%2.%3."/>
      <w:lvlJc w:val="left"/>
      <w:pPr>
        <w:ind w:left="102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102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102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102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102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102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102" w:leftChars="0" w:firstLine="0" w:firstLineChars="0"/>
      </w:pPr>
      <w:rPr>
        <w:rFonts w:hint="default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48" w:hanging="408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2257C5D"/>
    <w:rsid w:val="0BA01BBC"/>
    <w:rsid w:val="0C600ABF"/>
    <w:rsid w:val="15D55268"/>
    <w:rsid w:val="18E33C94"/>
    <w:rsid w:val="290276B2"/>
    <w:rsid w:val="29560610"/>
    <w:rsid w:val="2AA74943"/>
    <w:rsid w:val="326A5BCD"/>
    <w:rsid w:val="364C0EFB"/>
    <w:rsid w:val="39137DEB"/>
    <w:rsid w:val="3A143741"/>
    <w:rsid w:val="3A524858"/>
    <w:rsid w:val="3E6D2674"/>
    <w:rsid w:val="3FC43A91"/>
    <w:rsid w:val="40C275F6"/>
    <w:rsid w:val="45507134"/>
    <w:rsid w:val="4B705044"/>
    <w:rsid w:val="4CE04794"/>
    <w:rsid w:val="4EB561F0"/>
    <w:rsid w:val="52CA05EC"/>
    <w:rsid w:val="58835515"/>
    <w:rsid w:val="5AA526E8"/>
    <w:rsid w:val="613A3831"/>
    <w:rsid w:val="6D323B1B"/>
    <w:rsid w:val="6E4C2C26"/>
    <w:rsid w:val="70DF1F39"/>
    <w:rsid w:val="7357343E"/>
    <w:rsid w:val="74F41786"/>
    <w:rsid w:val="797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101"/>
    <w:uiPriority w:val="0"/>
    <w:rPr>
      <w:rFonts w:hint="default" w:ascii="Calibri" w:hAnsi="Calibri" w:cs="Calibri"/>
      <w:color w:val="0000FF"/>
      <w:u w:val="none"/>
    </w:rPr>
  </w:style>
  <w:style w:type="character" w:customStyle="1" w:styleId="21">
    <w:name w:val="font51"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131"/>
    <w:uiPriority w:val="0"/>
    <w:rPr>
      <w:rFonts w:hint="default" w:ascii="Calibri" w:hAnsi="Calibri" w:cs="Calibri"/>
      <w:color w:val="000000"/>
      <w:u w:val="none"/>
    </w:rPr>
  </w:style>
  <w:style w:type="character" w:customStyle="1" w:styleId="23">
    <w:name w:val="font15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4">
    <w:name w:val="font361"/>
    <w:uiPriority w:val="0"/>
    <w:rPr>
      <w:rFonts w:hint="default" w:ascii="Calibri" w:hAnsi="Calibri" w:cs="Calibri"/>
      <w:i/>
      <w:iCs/>
      <w:color w:val="C71585"/>
      <w:u w:val="none"/>
    </w:rPr>
  </w:style>
  <w:style w:type="character" w:customStyle="1" w:styleId="25">
    <w:name w:val="font232"/>
    <w:uiPriority w:val="0"/>
    <w:rPr>
      <w:rFonts w:hint="default" w:ascii="Calibri" w:hAnsi="Calibri" w:cs="Calibri"/>
      <w:i/>
      <w:iCs/>
      <w:color w:val="800080"/>
      <w:u w:val="none"/>
    </w:rPr>
  </w:style>
  <w:style w:type="character" w:customStyle="1" w:styleId="26">
    <w:name w:val="font271"/>
    <w:uiPriority w:val="0"/>
    <w:rPr>
      <w:rFonts w:hint="default" w:ascii="Calibri" w:hAnsi="Calibri" w:cs="Calibri"/>
      <w:color w:val="000000"/>
      <w:u w:val="none"/>
    </w:rPr>
  </w:style>
  <w:style w:type="character" w:customStyle="1" w:styleId="27">
    <w:name w:val="font371"/>
    <w:uiPriority w:val="0"/>
    <w:rPr>
      <w:rFonts w:hint="default" w:ascii="Calibri" w:hAnsi="Calibri" w:cs="Calibri"/>
      <w:color w:val="00B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28</TotalTime>
  <ScaleCrop>false</ScaleCrop>
  <LinksUpToDate>false</LinksUpToDate>
  <CharactersWithSpaces>4532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2023-07-26T10:31:00Z</cp:lastPrinted>
  <dcterms:modified xsi:type="dcterms:W3CDTF">2023-10-05T04:24:53Z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F8B2D387974647E285961A900A212322</vt:lpwstr>
  </property>
</Properties>
</file>